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bookmarkStart w:id="0" w:name="_GoBack"/>
            <w:bookmarkEnd w:id="0"/>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B411D7" w:rsidP="003D702F">
            <w:pPr>
              <w:rPr>
                <w:i/>
              </w:rPr>
            </w:pPr>
            <w:r>
              <w:rPr>
                <w:i/>
              </w:rPr>
              <w:t>30</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F61DEA" w:rsidP="003D702F">
            <w:pPr>
              <w:rPr>
                <w:i/>
              </w:rPr>
            </w:pPr>
            <w:r>
              <w:rPr>
                <w:i/>
              </w:rPr>
              <w:t>27</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3C4889" w:rsidP="003D702F">
            <w:pPr>
              <w:rPr>
                <w:rFonts w:cs="Times New Roman"/>
                <w:i/>
                <w:szCs w:val="28"/>
              </w:rPr>
            </w:pPr>
            <w:r>
              <w:rPr>
                <w:rFonts w:cs="Times New Roman"/>
                <w:i/>
                <w:szCs w:val="28"/>
              </w:rPr>
              <w:t>ОБЖ</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F61DEA" w:rsidP="003D702F">
            <w:pPr>
              <w:rPr>
                <w:rFonts w:cs="Times New Roman"/>
                <w:i/>
                <w:szCs w:val="28"/>
              </w:rPr>
            </w:pPr>
            <w:r>
              <w:rPr>
                <w:rFonts w:cs="Times New Roman"/>
                <w:i/>
                <w:szCs w:val="28"/>
              </w:rPr>
              <w:t>67,68</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411D7" w:rsidRDefault="00B411D7" w:rsidP="00F61DEA">
            <w:pPr>
              <w:rPr>
                <w:rFonts w:cs="Times New Roman"/>
                <w:i/>
                <w:szCs w:val="28"/>
              </w:rPr>
            </w:pPr>
            <w:r>
              <w:rPr>
                <w:rFonts w:cs="Times New Roman"/>
                <w:i/>
                <w:szCs w:val="28"/>
              </w:rPr>
              <w:t>6</w:t>
            </w:r>
            <w:r w:rsidR="00F61DEA">
              <w:rPr>
                <w:rFonts w:cs="Times New Roman"/>
                <w:i/>
                <w:szCs w:val="28"/>
              </w:rPr>
              <w:t>7</w:t>
            </w:r>
            <w:r>
              <w:rPr>
                <w:rFonts w:cs="Times New Roman"/>
                <w:i/>
                <w:szCs w:val="28"/>
              </w:rPr>
              <w:t>.Устав внутренней службы ВС РФ.</w:t>
            </w:r>
          </w:p>
          <w:p w:rsidR="00F61DEA" w:rsidRPr="00B92318" w:rsidRDefault="00F61DEA" w:rsidP="00F61DEA">
            <w:pPr>
              <w:rPr>
                <w:rFonts w:cs="Times New Roman"/>
                <w:i/>
                <w:szCs w:val="28"/>
              </w:rPr>
            </w:pPr>
            <w:r>
              <w:rPr>
                <w:rFonts w:cs="Times New Roman"/>
                <w:i/>
                <w:szCs w:val="28"/>
              </w:rPr>
              <w:t>68.Дисциплинарный Устав ВС РФ.</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Изучите</w:t>
            </w:r>
            <w:r w:rsidR="002F31DA">
              <w:rPr>
                <w:rFonts w:eastAsia="Times New Roman" w:cs="Times New Roman"/>
                <w:b/>
                <w:bCs/>
                <w:i/>
                <w:color w:val="000000"/>
                <w:sz w:val="24"/>
                <w:szCs w:val="24"/>
                <w:lang w:eastAsia="ru-RU"/>
              </w:rPr>
              <w:t xml:space="preserve"> предложенный материал на тему «Дисциплинарный Устав ВС РФ».</w:t>
            </w:r>
          </w:p>
          <w:p w:rsidR="00B92318" w:rsidRPr="00B92318" w:rsidRDefault="002F31DA"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Pr>
                <w:rFonts w:eastAsia="Times New Roman" w:cs="Times New Roman"/>
                <w:b/>
                <w:bCs/>
                <w:i/>
                <w:color w:val="000000"/>
                <w:sz w:val="24"/>
                <w:szCs w:val="24"/>
                <w:lang w:eastAsia="ru-RU"/>
              </w:rPr>
              <w:t>Письменно ответьте на вопросы по теме «Дисциплинарный Устав ВС РФ»</w:t>
            </w:r>
            <w:r w:rsidR="00B92318" w:rsidRPr="00B92318">
              <w:rPr>
                <w:rFonts w:eastAsia="Times New Roman" w:cs="Times New Roman"/>
                <w:b/>
                <w:bCs/>
                <w:i/>
                <w:color w:val="000000"/>
                <w:sz w:val="24"/>
                <w:szCs w:val="24"/>
                <w:lang w:eastAsia="ru-RU"/>
              </w:rPr>
              <w:t>.</w:t>
            </w:r>
          </w:p>
          <w:p w:rsidR="00B92318" w:rsidRPr="00B92318" w:rsidRDefault="002F31DA" w:rsidP="00B92318">
            <w:pPr>
              <w:pStyle w:val="a4"/>
              <w:numPr>
                <w:ilvl w:val="0"/>
                <w:numId w:val="1"/>
              </w:numPr>
              <w:rPr>
                <w:rFonts w:cs="Times New Roman"/>
                <w:i/>
                <w:szCs w:val="28"/>
              </w:rPr>
            </w:pPr>
            <w:r>
              <w:rPr>
                <w:rFonts w:eastAsia="Times New Roman" w:cs="Times New Roman"/>
                <w:b/>
                <w:i/>
                <w:color w:val="000000"/>
                <w:sz w:val="24"/>
                <w:szCs w:val="24"/>
                <w:lang w:eastAsia="ru-RU"/>
              </w:rPr>
              <w:t xml:space="preserve">Ответы на вопросы </w:t>
            </w:r>
            <w:r w:rsidR="00B92318" w:rsidRPr="00B92318">
              <w:rPr>
                <w:rFonts w:eastAsia="Times New Roman" w:cs="Times New Roman"/>
                <w:b/>
                <w:i/>
                <w:color w:val="000000"/>
                <w:sz w:val="24"/>
                <w:szCs w:val="24"/>
                <w:lang w:eastAsia="ru-RU"/>
              </w:rPr>
              <w:t>отправьте преподавателю</w:t>
            </w:r>
            <w:r w:rsidR="001E5043">
              <w:rPr>
                <w:rFonts w:eastAsia="Times New Roman" w:cs="Times New Roman"/>
                <w:b/>
                <w:i/>
                <w:color w:val="000000"/>
                <w:sz w:val="24"/>
                <w:szCs w:val="24"/>
                <w:lang w:eastAsia="ru-RU"/>
              </w:rPr>
              <w:t>(фото вашего конспекта)</w:t>
            </w:r>
            <w:r w:rsidR="00B92318" w:rsidRPr="00B92318">
              <w:rPr>
                <w:rFonts w:eastAsia="Times New Roman" w:cs="Times New Roman"/>
                <w:b/>
                <w:i/>
                <w:color w:val="000000"/>
                <w:sz w:val="24"/>
                <w:szCs w:val="24"/>
                <w:lang w:eastAsia="ru-RU"/>
              </w:rPr>
              <w:t>.</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3C4889" w:rsidRDefault="003C4889">
      <w:pPr>
        <w:rPr>
          <w:b/>
        </w:rPr>
      </w:pP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b/>
          <w:bCs/>
          <w:color w:val="424242"/>
          <w:sz w:val="20"/>
          <w:szCs w:val="20"/>
          <w:lang w:eastAsia="ru-RU"/>
        </w:rPr>
      </w:pPr>
      <w:r w:rsidRPr="002F31DA">
        <w:rPr>
          <w:rFonts w:eastAsia="Times New Roman" w:cs="Times New Roman"/>
          <w:b/>
          <w:bCs/>
          <w:color w:val="424242"/>
          <w:sz w:val="20"/>
          <w:szCs w:val="20"/>
          <w:lang w:eastAsia="ru-RU"/>
        </w:rPr>
        <w:t xml:space="preserve">                                                Дисциплинарный Устав ВС РФ.</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b/>
          <w:bCs/>
          <w:color w:val="424242"/>
          <w:sz w:val="20"/>
          <w:szCs w:val="20"/>
          <w:lang w:eastAsia="ru-RU"/>
        </w:rPr>
        <w:t xml:space="preserve">      Понятие воинской дисциплины, на чем основывается и к чему  обязывает (статьи 1-3).</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1.Воинская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командиров(начальников).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3. Воинская дисциплина обязывает каждого военнослужащего:быть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уставов;выполнять свой воинский долг умело и мужественно, добросовестно изучать военное дело,беречь государственное и военное имущество;беспрекословно выполнять поставленные задачи в любых условиях, в том числе с риском для жизни, стойко переносить трудности военной службы;быть бдительным, строго хранить государственную тайну;поддерживать определенные общевоинскими уставами правила взаимоотношений между военнослужащими, крепить войсковое товарищество;оказывать уважение командирам (начальникам) и друг другу, соблюдать правила воинского приветствия и воинской вежливости;вести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граждан;соблюдать нормы международного гуманитарного права в соответствии с Конституцией Российской Федерации.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b/>
          <w:bCs/>
          <w:color w:val="424242"/>
          <w:sz w:val="20"/>
          <w:szCs w:val="20"/>
          <w:lang w:eastAsia="ru-RU"/>
        </w:rPr>
        <w:t xml:space="preserve">        Чем достигается воинская дисциплина (статья 4).</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Высокая воинская дисциплина достигается: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воспитанием у военнослужащих высоких морально-психологических и боевых качеств и сознательного повиновения командирам(начальникам);</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личной ответственностью каждого военнослужащего за выполнение своих обязанностей и требований воинских уставов;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поддержанием в воинской части (подразделении) внутреннего порядка, строгим соблюдением распорядка дня всеми военнослужащими;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четкой организацией боевой подготовки и полным охватом ею личного состава;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созданием в воинской части (подразделении) необходимых материально-бытовых условий.</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b/>
          <w:color w:val="424242"/>
          <w:sz w:val="20"/>
          <w:szCs w:val="20"/>
          <w:lang w:eastAsia="ru-RU"/>
        </w:rPr>
      </w:pPr>
      <w:r w:rsidRPr="002F31DA">
        <w:rPr>
          <w:rFonts w:eastAsia="Times New Roman" w:cs="Times New Roman"/>
          <w:b/>
          <w:color w:val="424242"/>
          <w:sz w:val="20"/>
          <w:szCs w:val="20"/>
          <w:lang w:eastAsia="ru-RU"/>
        </w:rPr>
        <w:t xml:space="preserve">        Поощрения военнослужащих.</w:t>
      </w:r>
    </w:p>
    <w:tbl>
      <w:tblPr>
        <w:tblpPr w:leftFromText="36" w:rightFromText="36" w:vertAnchor="text"/>
        <w:tblW w:w="3672" w:type="dxa"/>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3672"/>
      </w:tblGrid>
      <w:tr w:rsidR="002F31DA" w:rsidRPr="002F31DA" w:rsidTr="00EA6F36">
        <w:trPr>
          <w:tblCellSpacing w:w="30" w:type="dxa"/>
        </w:trPr>
        <w:tc>
          <w:tcPr>
            <w:tcW w:w="0" w:type="auto"/>
            <w:shd w:val="clear" w:color="auto" w:fill="FFFFFF"/>
            <w:hideMark/>
          </w:tcPr>
          <w:p w:rsidR="002F31DA" w:rsidRPr="002F31DA" w:rsidRDefault="002F31DA" w:rsidP="002F31DA">
            <w:pPr>
              <w:spacing w:after="0" w:line="240" w:lineRule="auto"/>
              <w:rPr>
                <w:rFonts w:eastAsia="Times New Roman" w:cs="Times New Roman"/>
                <w:color w:val="424242"/>
                <w:sz w:val="20"/>
                <w:szCs w:val="20"/>
                <w:lang w:eastAsia="ru-RU"/>
              </w:rPr>
            </w:pPr>
          </w:p>
        </w:tc>
      </w:tr>
    </w:tbl>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За одно отличие военнослужащий может быть поощрен только один раз.</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lastRenderedPageBreak/>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власть.Одновременно с военнослужащего может быть снято только одно дисциплинарное взыскание.Командир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lastRenderedPageBreak/>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Награждение именным оружием производится в соответствии с законодательством Российской Федерации.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Поощрения объявляются перед строем, на собраниях или совещаниях военнослужащих, в приказе или лично.</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Объявление приказов о поощрении или награждении отличившихся военнослужащих обычно проводится в торжественной обстановке.</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xml:space="preserve">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 </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b/>
          <w:bCs/>
          <w:color w:val="424242"/>
          <w:sz w:val="20"/>
          <w:szCs w:val="20"/>
          <w:lang w:eastAsia="ru-RU"/>
        </w:rPr>
        <w:t>Дисциплинарное взыскание, виды взысканий (статья 54).</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К военнослужащему могут применяться следующие виды дисциплинарных взысканий:</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выговор;</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строгий выговор;</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лишение очередного увольнения из расположения воинской части или с корабля на берег;</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лишение нагрудного знака отличника;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предупреждение о неполном служебном соответствии;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снижение в воинской должности;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снижение в воинском звании на одну ступень;</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lastRenderedPageBreak/>
        <w:t>снижение в воинском звании на одну ступень со снижением в воинской должности;</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досрочное увольнение с военной службы в связи с невыполнением условий контракта;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отчисление из военного образовательного учреждения профессионального образования;</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отчисление с военных сборов;</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дисциплинарный арест.</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b/>
          <w:color w:val="424242"/>
          <w:sz w:val="20"/>
          <w:szCs w:val="20"/>
          <w:lang w:eastAsia="ru-RU"/>
        </w:rPr>
      </w:pPr>
      <w:r w:rsidRPr="002F31DA">
        <w:rPr>
          <w:rFonts w:eastAsia="Times New Roman" w:cs="Times New Roman"/>
          <w:color w:val="424242"/>
          <w:sz w:val="20"/>
          <w:szCs w:val="20"/>
          <w:lang w:eastAsia="ru-RU"/>
        </w:rPr>
        <w:t xml:space="preserve">         </w:t>
      </w:r>
      <w:r w:rsidRPr="002F31DA">
        <w:rPr>
          <w:rFonts w:eastAsia="Times New Roman" w:cs="Times New Roman"/>
          <w:b/>
          <w:color w:val="424242"/>
          <w:sz w:val="20"/>
          <w:szCs w:val="20"/>
          <w:lang w:eastAsia="ru-RU"/>
        </w:rPr>
        <w:t>Вопросы по теме «Дисциплинарный Устав ВС РФ».</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1.Что такое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2.На чём основывается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3.К чему обязывает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4.Чем достигается воинская дисциплина?</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5. Какие виды поощрений применяются к военнослужащим?</w:t>
      </w:r>
    </w:p>
    <w:p w:rsidR="002F31DA" w:rsidRPr="002F31DA" w:rsidRDefault="002F31DA" w:rsidP="002F31DA">
      <w:pPr>
        <w:shd w:val="clear" w:color="auto" w:fill="FFFFFF"/>
        <w:spacing w:before="100" w:beforeAutospacing="1" w:after="100" w:afterAutospacing="1" w:line="240" w:lineRule="auto"/>
        <w:ind w:left="300" w:right="300"/>
        <w:rPr>
          <w:rFonts w:eastAsia="Times New Roman" w:cs="Times New Roman"/>
          <w:color w:val="424242"/>
          <w:sz w:val="20"/>
          <w:szCs w:val="20"/>
          <w:lang w:eastAsia="ru-RU"/>
        </w:rPr>
      </w:pPr>
      <w:r w:rsidRPr="002F31DA">
        <w:rPr>
          <w:rFonts w:eastAsia="Times New Roman" w:cs="Times New Roman"/>
          <w:color w:val="424242"/>
          <w:sz w:val="20"/>
          <w:szCs w:val="20"/>
          <w:lang w:eastAsia="ru-RU"/>
        </w:rPr>
        <w:t>6.Какие виды дисциплинарных взысканий применяются к военнослужащим?</w:t>
      </w:r>
    </w:p>
    <w:p w:rsidR="003C4889" w:rsidRPr="003C4889" w:rsidRDefault="003C4889" w:rsidP="003C4889">
      <w:pPr>
        <w:spacing w:before="100" w:beforeAutospacing="1" w:after="100" w:afterAutospacing="1" w:line="240" w:lineRule="auto"/>
        <w:rPr>
          <w:rFonts w:eastAsia="Times New Roman" w:cs="Times New Roman"/>
          <w:i/>
          <w:iCs/>
          <w:sz w:val="24"/>
          <w:szCs w:val="24"/>
          <w:lang w:eastAsia="ru-RU"/>
        </w:rPr>
      </w:pPr>
    </w:p>
    <w:p w:rsidR="003C4889" w:rsidRPr="00B43794" w:rsidRDefault="003C4889">
      <w:pPr>
        <w:rPr>
          <w:b/>
        </w:rPr>
      </w:pPr>
    </w:p>
    <w:sectPr w:rsidR="003C4889"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2C2"/>
    <w:multiLevelType w:val="multilevel"/>
    <w:tmpl w:val="B37E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D4C8C"/>
    <w:multiLevelType w:val="multilevel"/>
    <w:tmpl w:val="A118A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34584"/>
    <w:multiLevelType w:val="multilevel"/>
    <w:tmpl w:val="55284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4006AF"/>
    <w:multiLevelType w:val="multilevel"/>
    <w:tmpl w:val="09AEC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7E7952"/>
    <w:multiLevelType w:val="multilevel"/>
    <w:tmpl w:val="040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C4AF6"/>
    <w:rsid w:val="001E5043"/>
    <w:rsid w:val="002B7F44"/>
    <w:rsid w:val="002F31DA"/>
    <w:rsid w:val="00310D79"/>
    <w:rsid w:val="003A7617"/>
    <w:rsid w:val="003C4889"/>
    <w:rsid w:val="004B3B09"/>
    <w:rsid w:val="005B53C9"/>
    <w:rsid w:val="00850767"/>
    <w:rsid w:val="00915B9A"/>
    <w:rsid w:val="00921977"/>
    <w:rsid w:val="00A34A02"/>
    <w:rsid w:val="00B411D7"/>
    <w:rsid w:val="00B43794"/>
    <w:rsid w:val="00B92318"/>
    <w:rsid w:val="00EA2CC4"/>
    <w:rsid w:val="00EC6774"/>
    <w:rsid w:val="00F61DEA"/>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310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310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зам.директора по УР</cp:lastModifiedBy>
  <cp:revision>2</cp:revision>
  <cp:lastPrinted>2020-03-27T06:52:00Z</cp:lastPrinted>
  <dcterms:created xsi:type="dcterms:W3CDTF">2020-04-27T07:36:00Z</dcterms:created>
  <dcterms:modified xsi:type="dcterms:W3CDTF">2020-04-27T07:36:00Z</dcterms:modified>
</cp:coreProperties>
</file>